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6C6F" w14:textId="4B572FF7" w:rsidR="00C41A25" w:rsidRPr="00C41A25" w:rsidRDefault="00C41A25" w:rsidP="00C41A25">
      <w:pPr>
        <w:rPr>
          <w:b/>
          <w:bCs/>
          <w:color w:val="00B050"/>
          <w:sz w:val="34"/>
          <w:szCs w:val="34"/>
        </w:rPr>
      </w:pPr>
      <w:r w:rsidRPr="00C41A25">
        <w:rPr>
          <w:b/>
          <w:bCs/>
          <w:color w:val="C00000"/>
          <w:sz w:val="34"/>
          <w:szCs w:val="34"/>
        </w:rPr>
        <w:t>What's new in obstetrics and gynecology</w:t>
      </w:r>
      <w:r w:rsidRPr="00C41A25">
        <w:rPr>
          <w:b/>
          <w:bCs/>
          <w:color w:val="C00000"/>
          <w:sz w:val="34"/>
          <w:szCs w:val="34"/>
        </w:rPr>
        <w:t xml:space="preserve">    </w:t>
      </w:r>
      <w:r w:rsidRPr="00ED55D9">
        <w:rPr>
          <w:b/>
          <w:bCs/>
          <w:color w:val="00B050"/>
          <w:sz w:val="34"/>
          <w:szCs w:val="34"/>
        </w:rPr>
        <w:t>March 2025</w:t>
      </w:r>
    </w:p>
    <w:p w14:paraId="61887081" w14:textId="77777777" w:rsidR="00510CCB" w:rsidRDefault="00510CCB"/>
    <w:p w14:paraId="7A96F6DD" w14:textId="77777777" w:rsidR="00C41A25" w:rsidRPr="00C41A25" w:rsidRDefault="00C41A25" w:rsidP="00487107">
      <w:pPr>
        <w:jc w:val="both"/>
      </w:pPr>
      <w:r w:rsidRPr="00C41A25">
        <w:rPr>
          <w:b/>
          <w:bCs/>
        </w:rPr>
        <w:t>INTRAPARTUM AND POSTPARTUM OBSTETRICS</w:t>
      </w:r>
    </w:p>
    <w:p w14:paraId="0C8975E6" w14:textId="77777777" w:rsidR="00C41A25" w:rsidRPr="00C41A25" w:rsidRDefault="00C41A25" w:rsidP="00487107">
      <w:pPr>
        <w:jc w:val="both"/>
      </w:pPr>
      <w:r w:rsidRPr="00C41A25">
        <w:rPr>
          <w:b/>
          <w:bCs/>
        </w:rPr>
        <w:t xml:space="preserve">Lack of neonatal benefit from </w:t>
      </w:r>
      <w:proofErr w:type="spellStart"/>
      <w:r w:rsidRPr="00C41A25">
        <w:rPr>
          <w:b/>
          <w:bCs/>
        </w:rPr>
        <w:t>atosiban</w:t>
      </w:r>
      <w:proofErr w:type="spellEnd"/>
      <w:r w:rsidRPr="00C41A25">
        <w:rPr>
          <w:b/>
          <w:bCs/>
        </w:rPr>
        <w:t xml:space="preserve"> treatment of preterm labor (March 2025)</w:t>
      </w:r>
    </w:p>
    <w:p w14:paraId="107CA48A" w14:textId="77777777" w:rsidR="00C41A25" w:rsidRPr="00C41A25" w:rsidRDefault="00C41A25" w:rsidP="00487107">
      <w:pPr>
        <w:jc w:val="both"/>
      </w:pPr>
      <w:r w:rsidRPr="00C41A25">
        <w:t xml:space="preserve">Although the US Food and Drug Administration declined to approve </w:t>
      </w:r>
      <w:proofErr w:type="spellStart"/>
      <w:r w:rsidRPr="00C41A25">
        <w:t>atosiban</w:t>
      </w:r>
      <w:proofErr w:type="spellEnd"/>
      <w:r w:rsidRPr="00C41A25">
        <w:t xml:space="preserve"> for tocolysis in 1998 because of safety concerns when used in pregnancies &lt;28 weeks of gestation, it is available for clinical use elsewhere. The largest randomized trial comparing </w:t>
      </w:r>
      <w:proofErr w:type="spellStart"/>
      <w:r w:rsidRPr="00C41A25">
        <w:t>atosiban</w:t>
      </w:r>
      <w:proofErr w:type="spellEnd"/>
      <w:r w:rsidRPr="00C41A25">
        <w:t xml:space="preserve"> with placebo was recently performed in 700 patients with threatened preterm labor between 30 and 34 weeks in the Netherlands, England, and Ireland [</w:t>
      </w:r>
      <w:hyperlink r:id="rId5" w:history="1">
        <w:r w:rsidRPr="00C41A25">
          <w:rPr>
            <w:rStyle w:val="Hyperlink"/>
          </w:rPr>
          <w:t>13</w:t>
        </w:r>
      </w:hyperlink>
      <w:r w:rsidRPr="00C41A25">
        <w:t xml:space="preserve">]. </w:t>
      </w:r>
      <w:proofErr w:type="spellStart"/>
      <w:r w:rsidRPr="00C41A25">
        <w:t>Atosiban</w:t>
      </w:r>
      <w:proofErr w:type="spellEnd"/>
      <w:r w:rsidRPr="00C41A25">
        <w:t xml:space="preserve"> did not reduce adverse neonatal outcomes, although more pregnancies were prolonged for ≥48 hours, enabling a course of antenatal steroids. For tocolysis candidates at this gestational age, we suggest </w:t>
      </w:r>
      <w:hyperlink r:id="rId6" w:history="1">
        <w:r w:rsidRPr="00C41A25">
          <w:rPr>
            <w:rStyle w:val="Hyperlink"/>
          </w:rPr>
          <w:t>nifedipine</w:t>
        </w:r>
      </w:hyperlink>
      <w:r w:rsidRPr="00C41A25">
        <w:t> as the first-line therapy. (See </w:t>
      </w:r>
      <w:hyperlink r:id="rId7" w:anchor="H2716998984" w:history="1">
        <w:r w:rsidRPr="00C41A25">
          <w:rPr>
            <w:rStyle w:val="Hyperlink"/>
          </w:rPr>
          <w:t>"Inhibition of acute preterm labor", section on 'Efficacy'</w:t>
        </w:r>
      </w:hyperlink>
      <w:r w:rsidRPr="00C41A25">
        <w:t>.)</w:t>
      </w:r>
    </w:p>
    <w:p w14:paraId="18C10D83" w14:textId="77777777" w:rsidR="00C41A25" w:rsidRPr="00C41A25" w:rsidRDefault="00C41A25" w:rsidP="00487107">
      <w:pPr>
        <w:jc w:val="both"/>
      </w:pPr>
      <w:r w:rsidRPr="00C41A25">
        <w:rPr>
          <w:b/>
          <w:bCs/>
        </w:rPr>
        <w:t>Universal screening for congenital cytomegalovirus infection (March 2025)</w:t>
      </w:r>
    </w:p>
    <w:p w14:paraId="41302A17" w14:textId="77777777" w:rsidR="00C41A25" w:rsidRPr="00C41A25" w:rsidRDefault="00C41A25" w:rsidP="00487107">
      <w:pPr>
        <w:jc w:val="both"/>
      </w:pPr>
      <w:r w:rsidRPr="00C41A25">
        <w:t>Newborn screening for congenital cytomegalovirus (</w:t>
      </w:r>
      <w:proofErr w:type="spellStart"/>
      <w:r w:rsidRPr="00C41A25">
        <w:t>cCMV</w:t>
      </w:r>
      <w:proofErr w:type="spellEnd"/>
      <w:r w:rsidRPr="00C41A25">
        <w:t xml:space="preserve">) has been proposed by public health experts, but the most reliable and cost-effective method is uncertain. Two recent studies reported on the experience of performing universal </w:t>
      </w:r>
      <w:proofErr w:type="spellStart"/>
      <w:r w:rsidRPr="00C41A25">
        <w:t>cCMV</w:t>
      </w:r>
      <w:proofErr w:type="spellEnd"/>
      <w:r w:rsidRPr="00C41A25">
        <w:t xml:space="preserve"> screening with dried blood spots [</w:t>
      </w:r>
      <w:hyperlink r:id="rId8" w:history="1">
        <w:r w:rsidRPr="00C41A25">
          <w:rPr>
            <w:rStyle w:val="Hyperlink"/>
          </w:rPr>
          <w:t>14,15</w:t>
        </w:r>
      </w:hyperlink>
      <w:r w:rsidRPr="00C41A25">
        <w:t xml:space="preserve">]. Combined, these studies screened &gt;600,000 newborns, and 863 (0.14 percent) screened positive. The false-positive rate was 4 percent. Among confirmed cases, &gt;80 percent were asymptomatic whereas 12 to 16 percent had either isolated hearing loss or findings consistent with symptomatic </w:t>
      </w:r>
      <w:proofErr w:type="spellStart"/>
      <w:r w:rsidRPr="00C41A25">
        <w:t>cCMV</w:t>
      </w:r>
      <w:proofErr w:type="spellEnd"/>
      <w:r w:rsidRPr="00C41A25">
        <w:t xml:space="preserve"> disease. These reports suggest that universal screening is feasible; however, important challenges and uncertainties remain (</w:t>
      </w:r>
      <w:proofErr w:type="spellStart"/>
      <w:r w:rsidRPr="00C41A25">
        <w:t>eg</w:t>
      </w:r>
      <w:proofErr w:type="spellEnd"/>
      <w:r w:rsidRPr="00C41A25">
        <w:t>, ensuring timely follow-up and linkage to care after a positive screen, and lack of standardized criteria for initiating antiviral treatment). (See </w:t>
      </w:r>
      <w:hyperlink r:id="rId9" w:anchor="H15657657" w:history="1">
        <w:r w:rsidRPr="00C41A25">
          <w:rPr>
            <w:rStyle w:val="Hyperlink"/>
          </w:rPr>
          <w:t>"Congenital cytomegalovirus (</w:t>
        </w:r>
        <w:proofErr w:type="spellStart"/>
        <w:r w:rsidRPr="00C41A25">
          <w:rPr>
            <w:rStyle w:val="Hyperlink"/>
          </w:rPr>
          <w:t>cCMV</w:t>
        </w:r>
        <w:proofErr w:type="spellEnd"/>
        <w:r w:rsidRPr="00C41A25">
          <w:rPr>
            <w:rStyle w:val="Hyperlink"/>
          </w:rPr>
          <w:t>) infection: Clinical features and diagnosis", section on 'Universal newborn screening'</w:t>
        </w:r>
      </w:hyperlink>
      <w:r w:rsidRPr="00C41A25">
        <w:t>.)</w:t>
      </w:r>
    </w:p>
    <w:p w14:paraId="49F9AE21" w14:textId="77777777" w:rsidR="00C41A25" w:rsidRPr="00C41A25" w:rsidRDefault="00C41A25" w:rsidP="00487107">
      <w:pPr>
        <w:jc w:val="both"/>
      </w:pPr>
      <w:r w:rsidRPr="00C41A25">
        <w:rPr>
          <w:b/>
          <w:bCs/>
        </w:rPr>
        <w:t>OFFICE GYNECOLOGY</w:t>
      </w:r>
    </w:p>
    <w:p w14:paraId="0A99F4F1" w14:textId="77777777" w:rsidR="00C41A25" w:rsidRPr="00C41A25" w:rsidRDefault="00C41A25" w:rsidP="00487107">
      <w:pPr>
        <w:jc w:val="both"/>
      </w:pPr>
      <w:r w:rsidRPr="00C41A25">
        <w:rPr>
          <w:b/>
          <w:bCs/>
        </w:rPr>
        <w:t>New copper 175 mm2 intrauterine device (March 2025)</w:t>
      </w:r>
    </w:p>
    <w:p w14:paraId="4BE6E174" w14:textId="18480392" w:rsidR="00C41A25" w:rsidRDefault="00C41A25" w:rsidP="00487107">
      <w:pPr>
        <w:jc w:val="both"/>
      </w:pPr>
      <w:r w:rsidRPr="00C41A25">
        <w:t>Patients who desire long-acting contraception will have two copper intrauterine devices (IUDs) to consider. The novel copper 175 mm</w:t>
      </w:r>
      <w:r w:rsidRPr="00C41A25">
        <w:rPr>
          <w:vertAlign w:val="superscript"/>
        </w:rPr>
        <w:t>2 </w:t>
      </w:r>
      <w:r w:rsidRPr="00C41A25">
        <w:t xml:space="preserve">device (commercial name </w:t>
      </w:r>
      <w:proofErr w:type="spellStart"/>
      <w:r w:rsidRPr="00C41A25">
        <w:t>Miudella</w:t>
      </w:r>
      <w:proofErr w:type="spellEnd"/>
      <w:r w:rsidRPr="00C41A25">
        <w:t>) has been approved for three years of use and will be commercially available later in 2025 [</w:t>
      </w:r>
      <w:hyperlink r:id="rId10" w:history="1">
        <w:r w:rsidRPr="00C41A25">
          <w:rPr>
            <w:rStyle w:val="Hyperlink"/>
          </w:rPr>
          <w:t>21</w:t>
        </w:r>
      </w:hyperlink>
      <w:r w:rsidRPr="00C41A25">
        <w:t>]. Compared with the copper 380 mm</w:t>
      </w:r>
      <w:r w:rsidRPr="00C41A25">
        <w:rPr>
          <w:vertAlign w:val="superscript"/>
        </w:rPr>
        <w:t>2</w:t>
      </w:r>
      <w:r w:rsidRPr="00C41A25">
        <w:t> IUD, the new device has less than half the copper, which may reduce uterine cramping and bleeding; the applicator has a smaller diameter and is rounded, which may make placement easier for nulliparous patients or those with cervical stenosis; and the nitinol frame is flexible, which may better adapt to the intrauterine cavity and potentially reduce expulsion risk. (See </w:t>
      </w:r>
      <w:hyperlink r:id="rId11" w:anchor="H717555817" w:history="1">
        <w:r w:rsidRPr="00C41A25">
          <w:rPr>
            <w:rStyle w:val="Hyperlink"/>
          </w:rPr>
          <w:t>"Intrauterine contraception: Background and device types", section on 'Device types and characteristics'</w:t>
        </w:r>
      </w:hyperlink>
      <w:r w:rsidRPr="00C41A25">
        <w:t>.)</w:t>
      </w:r>
    </w:p>
    <w:sectPr w:rsidR="00C41A25" w:rsidSect="00487107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528AA"/>
    <w:multiLevelType w:val="multilevel"/>
    <w:tmpl w:val="8A4A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55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A25"/>
    <w:rsid w:val="000B1565"/>
    <w:rsid w:val="00313F44"/>
    <w:rsid w:val="00487107"/>
    <w:rsid w:val="004B5628"/>
    <w:rsid w:val="00510CCB"/>
    <w:rsid w:val="00724823"/>
    <w:rsid w:val="008D0060"/>
    <w:rsid w:val="00C040BE"/>
    <w:rsid w:val="00C41A25"/>
    <w:rsid w:val="00E577A7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EE6F0"/>
  <w15:chartTrackingRefBased/>
  <w15:docId w15:val="{1B1A41CB-D2F3-4AE7-9E14-896CD9651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1A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1A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1A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A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A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A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A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A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1A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A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1A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1A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A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1A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1A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1A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1A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1A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1A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1A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A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1A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1A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1A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1A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1A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A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A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1A2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41A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1A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0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ADADA"/>
            <w:right w:val="none" w:sz="0" w:space="0" w:color="auto"/>
          </w:divBdr>
          <w:divsChild>
            <w:div w:id="1540632811">
              <w:marLeft w:val="0"/>
              <w:marRight w:val="3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0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ADADA"/>
            <w:right w:val="none" w:sz="0" w:space="0" w:color="auto"/>
          </w:divBdr>
          <w:divsChild>
            <w:div w:id="388459403">
              <w:marLeft w:val="0"/>
              <w:marRight w:val="3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4.utdos.ir/contents/whats-new-in-obstetrics-and-gynecology/abstract/14,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4.utdos.ir/contents/inhibition-of-acute-preterm-labor?sectionName=Efficacy&amp;topicRef=8350&amp;anchor=H2716998984&amp;source=se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4.utdos.ir/contents/nifedipine-drug-information?topicRef=8350&amp;source=see_link" TargetMode="External"/><Relationship Id="rId11" Type="http://schemas.openxmlformats.org/officeDocument/2006/relationships/hyperlink" Target="https://www4.utdos.ir/contents/intrauterine-contraception-background-and-device-types?sectionName=Device%20types%20and%20characteristics&amp;topicRef=8350&amp;anchor=H717555817&amp;source=see_link" TargetMode="External"/><Relationship Id="rId5" Type="http://schemas.openxmlformats.org/officeDocument/2006/relationships/hyperlink" Target="https://www4.utdos.ir/contents/whats-new-in-obstetrics-and-gynecology/abstract/13" TargetMode="External"/><Relationship Id="rId10" Type="http://schemas.openxmlformats.org/officeDocument/2006/relationships/hyperlink" Target="https://www4.utdos.ir/contents/whats-new-in-obstetrics-and-gynecology/abstract/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4.utdos.ir/contents/congenital-cytomegalovirus-ccmv-infection-clinical-features-and-diagnosis?sectionName=Universal%20newborn%20screening&amp;topicRef=8350&amp;anchor=H15657657&amp;source=se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</dc:creator>
  <cp:keywords/>
  <dc:description/>
  <cp:lastModifiedBy>lib</cp:lastModifiedBy>
  <cp:revision>3</cp:revision>
  <dcterms:created xsi:type="dcterms:W3CDTF">2025-03-30T06:50:00Z</dcterms:created>
  <dcterms:modified xsi:type="dcterms:W3CDTF">2025-03-30T07:30:00Z</dcterms:modified>
</cp:coreProperties>
</file>